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914400" cy="914400"/>
                    </a:xfrm>
                    <a:prstGeom prst="rect"/>
                  </pic:spPr>
                </pic:pic>
              </a:graphicData>
            </a:graphic>
          </wp:inline>
        </w:drawing>
      </w:r>
    </w:p>
    <w:p>
      <w:pPr>
        <w:pStyle w:val="Title"/>
      </w:pPr>
      <w:r>
        <w:rPr>
          <w:sz w:val="52"/>
        </w:rPr>
        <w:t>Zion Gold Trust Coin Buyer Investment Portfolio</w:t>
      </w:r>
    </w:p>
    <w:p>
      <w:r>
        <w:t>Zion Gold Trust Gold Development Division</w:t>
        <w:br/>
        <w:t>Global Exchange R&amp;E Corporation</w:t>
        <w:br/>
        <w:t>Executive proposal and buyer terms overview</w:t>
        <w:br/>
        <w:t>4 October 2026</w:t>
      </w:r>
    </w:p>
    <w:p>
      <w:pPr>
        <w:pStyle w:val="Heading1"/>
      </w:pPr>
      <w:r>
        <w:t>The buyer opportunity</w:t>
      </w:r>
    </w:p>
    <w:p>
      <w:r>
        <w:t>Zion Gold Trust Coin is a proposed gold ownership programme designed to give buyers a clearly documented interest in identified gold. The intended starting purchase is one whole unit representing one fine troy ounce. A serialized certificate and digital record will connect each issued unit to its verified gold allocation and governing agreements.</w:t>
      </w:r>
    </w:p>
    <w:p>
      <w:r>
        <w:t>The programme brings together gold procurement, institutional safekeeping verification, ownership registration and client accounting. Our objective is to make the purchase understandable and the entitlement traceable, while protecting client gold through the contractual controls described in this portfolio.</w:t>
      </w:r>
    </w:p>
    <w:p>
      <w:r>
        <w:t>Gold held under this SKR ownership and trust programme pays no interest or dividends. Its value rises or falls with gold prices. Redemption or encashment uses the applicable gold price at that time, based on verified fine gold quantity, less agreed charges and applicable taxes. Gain or loss depends on the gold value at encashment compared with the purchase cost; the agreement governs redemption availability and procedure.</w:t>
      </w:r>
    </w:p>
    <w:tbl>
      <w:tblPr>
        <w:tblStyle w:val="LightShading-Accent1"/>
        <w:tblW w:type="auto" w:w="0"/>
        <w:tblLook w:firstColumn="1" w:firstRow="1" w:lastColumn="0" w:lastRow="0" w:noHBand="0" w:noVBand="1" w:val="04A0"/>
      </w:tblPr>
      <w:tblGrid>
        <w:gridCol w:w="4968"/>
        <w:gridCol w:w="4968"/>
      </w:tblGrid>
      <w:tr>
        <w:tc>
          <w:tcPr>
            <w:tcW w:type="dxa" w:w="4968"/>
          </w:tcPr>
          <w:p>
            <w:r>
              <w:t>Minimum purchase</w:t>
            </w:r>
          </w:p>
        </w:tc>
        <w:tc>
          <w:tcPr>
            <w:tcW w:type="dxa" w:w="4968"/>
          </w:tcPr>
          <w:p>
            <w:r>
              <w:t>One whole one ounce unit</w:t>
            </w:r>
          </w:p>
        </w:tc>
      </w:tr>
      <w:tr>
        <w:tc>
          <w:tcPr>
            <w:tcW w:type="dxa" w:w="4968"/>
          </w:tcPr>
          <w:p>
            <w:r>
              <w:t>Gold measure</w:t>
            </w:r>
          </w:p>
        </w:tc>
        <w:tc>
          <w:tcPr>
            <w:tcW w:type="dxa" w:w="4968"/>
          </w:tcPr>
          <w:p>
            <w:r>
              <w:t>One fine troy ounce equals 31.1034768 grams</w:t>
            </w:r>
          </w:p>
        </w:tc>
      </w:tr>
      <w:tr>
        <w:tc>
          <w:tcPr>
            <w:tcW w:type="dxa" w:w="4968"/>
          </w:tcPr>
          <w:p>
            <w:r>
              <w:t>Initial programme target</w:t>
            </w:r>
          </w:p>
        </w:tc>
        <w:tc>
          <w:tcPr>
            <w:tcW w:type="dxa" w:w="4968"/>
          </w:tcPr>
          <w:p>
            <w:r>
              <w:t>One metric ton of gold subject to weight, assay, custody and title verification</w:t>
            </w:r>
          </w:p>
        </w:tc>
      </w:tr>
      <w:tr>
        <w:tc>
          <w:tcPr>
            <w:tcW w:type="dxa" w:w="4968"/>
          </w:tcPr>
          <w:p>
            <w:r>
              <w:t>Pricing approach</w:t>
            </w:r>
          </w:p>
        </w:tc>
        <w:tc>
          <w:tcPr>
            <w:tcW w:type="dxa" w:w="4968"/>
          </w:tcPr>
          <w:p>
            <w:r>
              <w:t>Latest available gold reference with a dated final purchase quote</w:t>
            </w:r>
          </w:p>
        </w:tc>
      </w:tr>
      <w:tr>
        <w:tc>
          <w:tcPr>
            <w:tcW w:type="dxa" w:w="4968"/>
          </w:tcPr>
          <w:p>
            <w:r>
              <w:t>Buyer record</w:t>
            </w:r>
          </w:p>
        </w:tc>
        <w:tc>
          <w:tcPr>
            <w:tcW w:type="dxa" w:w="4968"/>
          </w:tcPr>
          <w:p>
            <w:r>
              <w:t>Registered entitlement, allocation reference and serialized certificate</w:t>
            </w:r>
          </w:p>
        </w:tc>
      </w:tr>
      <w:tr>
        <w:tc>
          <w:tcPr>
            <w:tcW w:type="dxa" w:w="4968"/>
          </w:tcPr>
          <w:p>
            <w:r>
              <w:t>Current participation</w:t>
            </w:r>
          </w:p>
        </w:tc>
        <w:tc>
          <w:tcPr>
            <w:tcW w:type="dxa" w:w="4968"/>
          </w:tcPr>
          <w:p>
            <w:r>
              <w:t>Verified quote inquiries; payment and issuance begin after documented launch conditions are met</w:t>
            </w:r>
          </w:p>
        </w:tc>
      </w:tr>
    </w:tbl>
    <w:p>
      <w:r>
        <w:t>The initial one metric ton allocation is a programme target directed by management. It is not represented as paid, transferred or available inventory until the institution and transaction records confirm it. This portfolio introduces the proposed product; the executed purchase and trust agreements govern each buyer’s rights.</w:t>
      </w:r>
    </w:p>
    <w:p>
      <w:pPr>
        <w:pStyle w:val="Heading1"/>
        <w:pageBreakBefore/>
      </w:pPr>
      <w:r>
        <w:t>Client protection and contract administration</w:t>
      </w:r>
    </w:p>
    <w:p>
      <w:r>
        <w:t>We intend to administer each transaction through documented verification, signed terms, cleared settlement and allocation reconciliation. These are programme requirements to be completed and evidenced before paid issuance, rather than claims that every arrangement is already operational.</w:t>
      </w:r>
    </w:p>
    <w:p>
      <w:pPr>
        <w:pStyle w:val="Heading2"/>
      </w:pPr>
      <w:r>
        <w:t>Verified custody</w:t>
      </w:r>
    </w:p>
    <w:p>
      <w:r>
        <w:t>Obtain direct written confirmation from the holding institution using independently verified contact details. Confirm the SKR, bar list, assay, fine weight, owner of record, restrictions and allocation available to the programme.</w:t>
      </w:r>
    </w:p>
    <w:p>
      <w:pPr>
        <w:pStyle w:val="Heading2"/>
      </w:pPr>
      <w:r>
        <w:t>Documented ownership</w:t>
      </w:r>
    </w:p>
    <w:p>
      <w:r>
        <w:t>Execute the supplier purchase or offtake agreement and title transfer. Complete the trust deed, custody agreement and institutional acknowledgment establishing the buyer’s beneficial interest. An SKR supports safekeeping evidence; it does not alone establish title.</w:t>
      </w:r>
    </w:p>
    <w:p>
      <w:pPr>
        <w:pStyle w:val="Heading2"/>
      </w:pPr>
      <w:r>
        <w:t>Segregated client gold</w:t>
      </w:r>
    </w:p>
    <w:p>
      <w:r>
        <w:t>Keep allocated client gold separate from corporate trading and project finance. Gold supporting outstanding buyer entitlements must not be sold, pledged or reused for corporate funding.</w:t>
      </w:r>
    </w:p>
    <w:p>
      <w:pPr>
        <w:pStyle w:val="Heading2"/>
      </w:pPr>
      <w:r>
        <w:t>Controlled issuance</w:t>
      </w:r>
    </w:p>
    <w:p>
      <w:r>
        <w:t>Issue certificates or tokens only after cleared settlement, verified eligible inventory and confirmed allocation. Reconcile eligible fine ounces with outstanding entitlements and reservations. A shortfall stops new issuance.</w:t>
      </w:r>
    </w:p>
    <w:p>
      <w:pPr>
        <w:pStyle w:val="Heading2"/>
      </w:pPr>
      <w:r>
        <w:t>Transparent records</w:t>
      </w:r>
    </w:p>
    <w:p>
      <w:r>
        <w:t>Record the order, quotation, payment, owner, gold lot and unit serials. Limit access to personal identification and confidential custody records. Provide a clear route for inquiries, complaints and account recovery.</w:t>
      </w:r>
    </w:p>
    <w:p>
      <w:pPr>
        <w:pStyle w:val="Heading2"/>
      </w:pPr>
      <w:r>
        <w:t>Applicable permissions</w:t>
      </w:r>
    </w:p>
    <w:p>
      <w:r>
        <w:t>Confirm the contracting entity, supplier authority, lawful source and export route, purchaser eligibility and applicable offering permissions before accepting payment. Obtain appropriate legal review in each relevant jurisdiction.</w:t>
      </w:r>
    </w:p>
    <w:p>
      <w:r>
        <w:t>Insurance scope, custodian responsibility, independent reconciliation arrangements and administration procedures must be stated in the definitive terms. No particular bank, vault, regulator, auditor or wallet provider is presented as an appointed partner without supporting confirmation.</w:t>
      </w:r>
    </w:p>
    <w:p>
      <w:pPr>
        <w:pStyle w:val="Heading1"/>
        <w:pageBreakBefore/>
      </w:pPr>
      <w:r>
        <w:t>Purchase value and settlement terms</w:t>
      </w:r>
    </w:p>
    <w:p>
      <w:r>
        <w:t>The online gold purchase calculator supplies the latest available USD reference automatically. Buyers enter their whole ounce quantity and see the gold component of the purchase. The source and quotation time accompany the displayed price; the feed refreshes every 60 seconds while the page is open.</w:t>
      </w:r>
    </w:p>
    <w:tbl>
      <w:tblPr>
        <w:tblStyle w:val="LightShading-Accent1"/>
        <w:tblW w:type="auto" w:w="0"/>
        <w:tblLook w:firstColumn="1" w:firstRow="1" w:lastColumn="0" w:lastRow="0" w:noHBand="0" w:noVBand="1" w:val="04A0"/>
      </w:tblPr>
      <w:tblGrid>
        <w:gridCol w:w="4968"/>
        <w:gridCol w:w="4968"/>
      </w:tblGrid>
      <w:tr>
        <w:tc>
          <w:tcPr>
            <w:tcW w:type="dxa" w:w="4968"/>
          </w:tcPr>
          <w:p>
            <w:r>
              <w:t>Gold component</w:t>
            </w:r>
          </w:p>
        </w:tc>
        <w:tc>
          <w:tcPr>
            <w:tcW w:type="dxa" w:w="4968"/>
          </w:tcPr>
          <w:p>
            <w:r>
              <w:t>Whole units × reference price per fine troy ounce</w:t>
            </w:r>
          </w:p>
        </w:tc>
      </w:tr>
      <w:tr>
        <w:tc>
          <w:tcPr>
            <w:tcW w:type="dxa" w:w="4968"/>
          </w:tcPr>
          <w:p>
            <w:r>
              <w:t>Purchase total</w:t>
            </w:r>
          </w:p>
        </w:tc>
        <w:tc>
          <w:tcPr>
            <w:tcW w:type="dxa" w:w="4968"/>
          </w:tcPr>
          <w:p>
            <w:r>
              <w:t>Gold component plus the premium, applicable taxes and agreed service, custody, fabrication, insurance or delivery charges</w:t>
            </w:r>
          </w:p>
        </w:tc>
      </w:tr>
      <w:tr>
        <w:tc>
          <w:tcPr>
            <w:tcW w:type="dxa" w:w="4968"/>
          </w:tcPr>
          <w:p>
            <w:r>
              <w:t>Final price</w:t>
            </w:r>
          </w:p>
        </w:tc>
        <w:tc>
          <w:tcPr>
            <w:tcW w:type="dxa" w:w="4968"/>
          </w:tcPr>
          <w:p>
            <w:r>
              <w:t>The accepted transaction quote states the benchmark, currency, timestamp, price lock and expiry</w:t>
            </w:r>
          </w:p>
        </w:tc>
      </w:tr>
      <w:tr>
        <w:tc>
          <w:tcPr>
            <w:tcW w:type="dxa" w:w="4968"/>
          </w:tcPr>
          <w:p>
            <w:r>
              <w:t>Account reference value</w:t>
            </w:r>
          </w:p>
        </w:tc>
        <w:tc>
          <w:tcPr>
            <w:tcW w:type="dxa" w:w="4968"/>
          </w:tcPr>
          <w:p>
            <w:r>
              <w:t>Verified owned fine ounces × the dated gold reference</w:t>
            </w:r>
          </w:p>
        </w:tc>
      </w:tr>
      <w:tr>
        <w:tc>
          <w:tcPr>
            <w:tcW w:type="dxa" w:w="4968"/>
          </w:tcPr>
          <w:p>
            <w:r>
              <w:t>Net sale proceeds</w:t>
            </w:r>
          </w:p>
        </w:tc>
        <w:tc>
          <w:tcPr>
            <w:tcW w:type="dxa" w:w="4968"/>
          </w:tcPr>
          <w:p>
            <w:r>
              <w:t>Verified fine gold quantity × accepted gold price at encashment, less agreed charges and applicable taxes</w:t>
            </w:r>
          </w:p>
        </w:tc>
      </w:tr>
    </w:tbl>
    <w:p>
      <w:r>
        <w:t>The displayed reference supports planning; it is not a binding supplier offer or a guaranteed redemption price. When markets are closed, the latest available quotation may belong to the previous trading session. If the feed is unavailable or out of date, the calculator asks the buyer to refresh or request a verified quote rather than supplying an invented price.</w:t>
      </w:r>
    </w:p>
    <w:p>
      <w:pPr>
        <w:pStyle w:val="Heading2"/>
      </w:pPr>
      <w:r>
        <w:t>Before payment</w:t>
      </w:r>
    </w:p>
    <w:p>
      <w:r>
        <w:t>The final quote and agreement will identify the seller or issuer, trustee, custodian, eligible gold lot, quantity, fineness, entitlement, complete fee schedule and settlement method. They will also state cancellation and refund terms, including the treatment of funds if verification or allocation fails.</w:t>
      </w:r>
    </w:p>
    <w:p>
      <w:r>
        <w:t>Physical export delivery: the combined export tax or duty and delivery charge is 7%, plus 3% brokerage, totaling 10% on the same agreed calculation base. The quote will state that base, the statutory and service components, payment timing and additional costs. This is the programme transaction schedule, not a universal statutory 7% duty.</w:t>
      </w:r>
    </w:p>
    <w:p>
      <w:pPr>
        <w:pStyle w:val="Heading2"/>
      </w:pPr>
      <w:r>
        <w:t>Delivery redemption and transfer</w:t>
      </w:r>
    </w:p>
    <w:p>
      <w:r>
        <w:t>Destination import taxes, duties and customs clearance charges are payable by the customer at customs or the point of receipt, in addition to export-delivery charges. The agreement specifies delivery availability, minimum quantity, destination, insurance, shipping responsibilities and timing. Physical release retires the digital entitlement. Cash redemption without physical export follows separate agreed sale terms.</w:t>
      </w:r>
    </w:p>
    <w:p>
      <w:r>
        <w:t>The intended SKR subscription collects no upfront investment tax, subject to confirmation under applicable law. Investors bear their applicable income and capital gains taxes on holdings, distributions, redemption or later disposal, including after delivery. Timing depends on residence, source jurisdiction and product; return of funds is not the only possible trigger. Zion Gold Trust and the supplier retain legally required withholding, remittance, reporting and entity tax duties. Transfers require owner authorization and synchronized records. Gold values can fall; returns, capital protection and liquidity are not guaranteed.</w:t>
      </w:r>
    </w:p>
    <w:p>
      <w:pPr>
        <w:pStyle w:val="Heading1"/>
        <w:pageBreakBefore/>
      </w:pPr>
      <w:r>
        <w:t>Collections client access and participation</w:t>
      </w:r>
    </w:p>
    <w:p>
      <w:r>
        <w:t>The Zion Gold Trust Coin Shop also presents the planned Heroes and Legendary Coin Series, including dedications to Mansa Musa, Nelson Mandela, Marcus Garvey and Kwame Nkrumah, alongside African kings and kingdoms and world leaders. Planned coin sizes start at one troy ounce, with larger sizes by inquiry. Jewelry categories include necklaces, pendants, rings, bracelets and earrings.</w:t>
      </w:r>
    </w:p>
    <w:p>
      <w:r>
        <w:t>Physical merchandise is distinct from the proposed gold ownership units. Each confirmed item will state its weight, fineness, fine gold content where applicable, design, edition details, price and delivery terms. A historical dedication does not imply endorsement. Production and availability will be confirmed in the item quote.</w:t>
      </w:r>
    </w:p>
    <w:p>
      <w:pPr>
        <w:spacing w:after="120"/>
      </w:pPr>
      <w:r>
        <w:t>Mining scope: Sierra Leone and Ghana — EPCM (engineering, procurement and construction management), mining concession, Global Exchange joint venture and offtake agreements under Zion Gold Trust. Specific rights and commitments are confirmed by executed agreements and supporting records.</w:t>
      </w:r>
    </w:p>
    <w:p>
      <w:pPr>
        <w:pStyle w:val="Heading2"/>
      </w:pPr>
      <w:r>
        <w:t>Proposed client account and wallet</w:t>
      </w:r>
    </w:p>
    <w:p>
      <w:r>
        <w:t>The client app is planned to provide verified holdings, certificate and allocation references, dated account valuations, transaction history and downloadable accounting statements. Wallet custody and transfer capabilities depend on the selected provider, the issued asset and completed legal and technical arrangements. No wallet partner or token contract is represented as active in this portfolio.</w:t>
      </w:r>
    </w:p>
    <w:p>
      <w:pPr>
        <w:pStyle w:val="Heading2"/>
      </w:pPr>
      <w:r>
        <w:t>Initial allocation measure</w:t>
      </w:r>
    </w:p>
    <w:p>
      <w:r>
        <w:t>If the initial allocation is verified as 1,000,000 grams of fine gold, it equals approximately 32,150.7465686 fine troy ounces. Before reserves or other claims, that supports no more than 32,150 whole one ounce units. If the tonnage is gross weight, the confirmed assay determines the eligible fine gold content. Supplier commitments are not issued inventory.</w:t>
      </w:r>
    </w:p>
    <w:p>
      <w:pPr>
        <w:pStyle w:val="Heading2"/>
      </w:pPr>
      <w:r>
        <w:t>Your next step</w:t>
      </w:r>
    </w:p>
    <w:p>
      <w:r>
        <w:t>Choose the number of ounces in the online calculator and request a verified quote. Our team will present the applicable product schedule and agreements, verify buyer eligibility and confirm the allocation and settlement instructions before accepting payment. An inquiry creates no purchase obligation, gold ownership or token issuance.</w:t>
      </w:r>
    </w:p>
    <w:p>
      <w:r>
        <w:t>Coin Shop: https://globexworld.hatchable.site/store/</w:t>
        <w:br/>
        <w:t>Gold calculator: https://globexworld.hatchable.site/gold-investment-trust/</w:t>
      </w:r>
    </w:p>
    <w:p>
      <w:r>
        <w:t>Paul Augustus Hay</w:t>
        <w:br/>
        <w:t>Chairman and CEO</w:t>
        <w:br/>
        <w:t>Global Exchange R&amp;E Corporation</w:t>
        <w:br/>
        <w:t>GlobexWorld.ca</w:t>
        <w:br/>
        <w:t>ceo@globexworld.ca | info@globexworld.ca</w:t>
        <w:br/>
        <w:t>globexresource@gmail.com</w:t>
      </w:r>
    </w:p>
    <w:p>
      <w:pPr>
        <w:pStyle w:val="Heading1"/>
        <w:pageBreakBefore/>
      </w:pPr>
      <w:r>
        <w:t>Concession equipment funding and offtake</w:t>
      </w:r>
    </w:p>
    <w:p>
      <w:r>
        <w:t>Indicative terms for discussion and document review. Zion Gold Trust / Global Exchange seeks $1,000,000 in equipment funding, with a proposed 10% equity stake in the designated concession venture and offtake purchase benefits. The concession, project entity, currency and country allocation within the Sierra Leone and Ghana division are specified in each agreement. Stated production and deliverable capacity is 100 kilograms of gold per month per mine, subject to verification of production records, assay and delivery commitments. Actual offtake allocations and shipment schedules are agreed for each mine and buyer.</w:t>
      </w:r>
    </w:p>
    <w:p>
      <w:pPr>
        <w:pStyle w:val="Heading2"/>
      </w:pPr>
      <w:r>
        <w:t>Funding compensation through purchase discounts</w:t>
      </w:r>
    </w:p>
    <w:p>
      <w:r>
        <w:t>The proposed funding is compensated through a 17% total purchase discount below the agreed reference price for 36 months or the agreed financing term. There is no scheduled repayment of the funding principal in cash or gold.</w:t>
      </w:r>
    </w:p>
    <w:p>
      <w:r>
        <w:t>The proposed 7% net offtaker margin is included within the 17% total discount, not added to it. Purchase price is 83% of the agreed benchmark before separately agreed charges. The requested LME prices reference must be resolved to a specific published benchmark applicable to the metal, with quotation date and pricing terms stated in the contract. Net margin depends on the agreed cost allocation.</w:t>
      </w:r>
    </w:p>
    <w:p>
      <w:pPr>
        <w:pStyle w:val="Heading2"/>
      </w:pPr>
      <w:r>
        <w:t>Duration and capital treatment</w:t>
      </w:r>
    </w:p>
    <w:p>
      <w:r>
        <w:t>The proposed funding term is 1–3 years, renewable by agreement. The discount runs for 36 months or the agreed funding term; the overall concession and offtake contract may run up to five years.</w:t>
      </w:r>
    </w:p>
    <w:p>
      <w:r>
        <w:t>The final agreement documents the funding consideration for equity and offtake rights, the absence of scheduled principal repayment, and the rights and obligations at expiry, termination or default. Discount benefits depend on actual eligible purchases; they are not a fixed annual yield or automatic compounded return. Any additional annual return or compounding provision remains to be defined and agreed. Equity rights, purchase volumes, availability, security and obligations are documented separately.</w:t>
      </w:r>
    </w:p>
    <w:p>
      <w:r>
        <w:t>These indicative terms do not accept funds or issue shares. Concession funding is separate from SKR gold ownership, which pays no interest or dividends. The final agreements establish concession rights, the equity issuer, investor eligibility and the agreed funding structure.</w:t>
      </w:r>
    </w:p>
    <w:p>
      <w:pPr>
        <w:pStyle w:val="Heading2"/>
      </w:pPr>
      <w:r>
        <w:t>Bulk gold mandates and delivery quotes</w:t>
      </w:r>
    </w:p>
    <w:p>
      <w:r>
        <w:t>Buyers requesting more than 10 kilograms must request a buyer mandate and delivery quote. Requests above 50 kilograms should be emailed for a delivery-inclusive quote and special supply, offtake or delivery agreement. Include quantity, fineness, destination, schedule, buyer identity and mandate details. Availability and final price are confirmed in the signed quote and agreement.</w:t>
      </w:r>
    </w:p>
    <w:p>
      <w:r>
        <w:t>Request terms and quotes: info@globexworld.ca</w:t>
        <w:br/>
        <w:t>ceo@globexworld.ca | globexresource@gmail.com</w:t>
        <w:br/>
        <w:t>Division: https://globexworld.hatchable.site/zion-gold-trust/#concession-financing</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4B3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4B3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Zion Gold Trust Coin Buyer Investment Portfolio</dc:title>
  <dc:subject/>
  <dc:creator>Global Exchange R&amp;E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